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Crispbread with dill, blue cheese and figs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pkg IKEA KNÄCKEBRÖD DILL crispbread with dill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67.5 g IKEA OST BLÅMÖGEL blue cheese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fresh fig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Honey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Pumpkin seeds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Sea salt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Break the crispbread into smaller rectangular pieces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Slice the blue cheese into pieces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Slice the fig into wedges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Roast the pumpkin seeds in a dry pan with a bit of a sea salt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Layer the crispbread on a plate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Place the cheese on pieces of bread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Place fig pieces on top on bread and cheese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Drizzle with honey and sprinkle the roasted pumpkin seeds on top of all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